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0328/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1307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К.А. </w:t>
      </w:r>
      <w:r>
        <w:rPr>
          <w:rFonts w:ascii="Times New Roman" w:eastAsia="Times New Roman" w:hAnsi="Times New Roman" w:cs="Times New Roman"/>
          <w:sz w:val="28"/>
          <w:szCs w:val="28"/>
        </w:rPr>
        <w:t>Литвинцевой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ДО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Александровны, 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ДО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О.А., находясь по адресу: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допустила отсутствие системы экстренного оповещения работников и посетителей о потенциальной угрозе возникновения или о возникновении 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 не предприн</w:t>
      </w:r>
      <w:r>
        <w:rPr>
          <w:rFonts w:ascii="Times New Roman" w:eastAsia="Times New Roman" w:hAnsi="Times New Roman" w:cs="Times New Roman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полный комплекс обязательных мер выполнения организационных и правовых мероприятий по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обеспечению антитеррористической защищенности объекта.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(бездействия) должностного лица не содержат признаков уголовно наказуемого деяния. Факт совершенного правонарушения подтверждается информацией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вневедомственной охраны – филиала ФГКУ «УВО ВНГ России по ХМАО-Югре».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признала, суду пояснила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вину она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раскаивается в содеянном .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заключен контракт на оказание услуг по поставке, монтажу и пуско-наладке системы оповещения при ГО и ЧС.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7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 проведении проверки от </w:t>
      </w:r>
      <w:r>
        <w:rPr>
          <w:rStyle w:val="cat-UserDefinedgrp-38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распоряжения о приеме работника на работу /л.д.9/, копией распоряжения о продлении срока трудового 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/л.д.10-11/, копией должностной инструкции /л.д.12-17/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4,6 ст. 3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06.03.2006 №35-ФЗ «О противодействии терроризму» противодействие терроризму - деятельность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по минимизации и (или) ликвидации последствий проявлений терроризма.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widowControl w:val="0"/>
        <w:spacing w:before="0" w:after="0"/>
        <w:ind w:firstLine="737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3.1 ст. 5 Федерального закона «О противодействии терроризму»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юридические лица выполняют требования к антитеррористической защищенности объектов (территорий), используемых для осуществления своей деятельности и находящихся в их собственности или принадлежащих им на ином законном основании.</w:t>
      </w:r>
    </w:p>
    <w:p>
      <w:pPr>
        <w:widowControl w:val="0"/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4.1.11 должностной инструкции директор Учреждения несет ответственность за совершение в процессе осуществления своей деятельности правонарушения, установленные административным, уголовным и гражданским законодательством Российской Федерации.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sz w:val="28"/>
          <w:szCs w:val="28"/>
        </w:rPr>
        <w:t>алами дела об административном 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К.А. </w:t>
      </w:r>
      <w:r>
        <w:rPr>
          <w:rFonts w:ascii="Times New Roman" w:eastAsia="Times New Roman" w:hAnsi="Times New Roman" w:cs="Times New Roman"/>
          <w:sz w:val="28"/>
          <w:szCs w:val="28"/>
        </w:rPr>
        <w:t>Литвинцевой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полагавш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что вин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доказана собранными по делу доказательствами и 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её к административной ответственности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минимальном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признаков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>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призна</w:t>
      </w:r>
      <w:r>
        <w:rPr>
          <w:rFonts w:ascii="Times New Roman" w:eastAsia="Times New Roman" w:hAnsi="Times New Roman" w:cs="Times New Roman"/>
          <w:sz w:val="28"/>
          <w:szCs w:val="28"/>
        </w:rPr>
        <w:t>ков уголовно наказуемого деяния.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4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r:id="rId4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ст. 4.2 Кодекса Российской Федерации об административных правонарушениях, является признание вины должностным лицом.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ИНН/КПП 8601073664/860101001,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 БИК 007162163, КБК 72011601203019000140, УИН 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32825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0328/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763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30">
    <w:name w:val="cat-UserDefined grp-3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F5047-0030-4E7A-AFB8-767B7D48D7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